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Puesta a punto de electroforesis en gel de poliacrilamida desnaturalizante (SDS-PAGE) de branquias del camarón </w:t>
      </w:r>
      <w:r w:rsidDel="00000000" w:rsidR="00000000" w:rsidRPr="00000000">
        <w:rPr>
          <w:b w:val="1"/>
          <w:i w:val="1"/>
          <w:rtl w:val="0"/>
        </w:rPr>
        <w:t xml:space="preserve">Palaemon macrodactylus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Pinoni, S.; Di Sciullio, P.; Ituarte, 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Los camarones fueron expuestos en acuarios en condiciones controladas de laboratorio a 10‰ de salinidad por 6 días. Luego se extrajeron las branquias y se homogeneizaron (buffer EGTA/Tris-sacarosa pH7,4 con y sin detergente) . Se probaron diferentes condiciones de homogeneización y centrifugación.  H: homogenato sin detergente, se eliminó el debris con una centrifugación de 10min a 1.800xg. Luego se centrifugaron a 25.000xg, 40min. SN: sobrenadante, P: pellet resuspendido en buffer de homogeneización. Muestras 1 y 2: sin detergente, muestra 3: con detergente.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624138" cy="172087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1720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Patrón proteico en electroforesis en gel desnaturalizante de poliacrilamida 10% de branquias de </w:t>
      </w:r>
      <w:r w:rsidDel="00000000" w:rsidR="00000000" w:rsidRPr="00000000">
        <w:rPr>
          <w:i w:val="1"/>
          <w:rtl w:val="0"/>
        </w:rPr>
        <w:t xml:space="preserve">P. macrtodactylus</w:t>
      </w:r>
      <w:r w:rsidDel="00000000" w:rsidR="00000000" w:rsidRPr="00000000">
        <w:rPr>
          <w:rtl w:val="0"/>
        </w:rPr>
        <w:t xml:space="preserve">. Tinción con Coomassie blue. Se sembraron 20 μg de proteina salvo en calles 9 y 10. Calle 1: H, 2: SN1, 3: SN2, 4: SN3, 5: marcador de PM (BioRad), 6: P1, 5: P2, 7: P3, 9: SN1 60 μg, 10: SN2 60 μg.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